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行政复议代表人推选书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经民主合议，现推选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（姓名）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 xml:space="preserve"> 、 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（姓名）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 xml:space="preserve"> 、 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（姓名）  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（不超过5人）为申请人向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>（行政复议机关）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申请行政复议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>（被申请人名称）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作出的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>（XX具体行政行为或不履行XX法定职责）</w:t>
      </w: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一案的代表人，代表人权限为：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代表人（签名或盖章）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u w:val="none"/>
          <w:lang w:val="en-US" w:eastAsia="zh-CN"/>
        </w:rPr>
        <w:t>申请人（签名或盖章）：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（或附后申请人签名名单）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（代表人权限提示：行政复议代表人权限可以为“代为申请行政复议，代为承认、变更行政复议请求，代为撤回行政复议申请，代为举证，代为陈述申辩，代为查阅行政复议案卷，代为接</w:t>
      </w:r>
      <w:bookmarkStart w:id="0" w:name="_GoBack"/>
      <w:bookmarkEnd w:id="0"/>
      <w:r>
        <w:rPr>
          <w:rFonts w:hint="eastAsia" w:ascii="仿宋_GB2312" w:hAnsi="新宋体" w:eastAsia="仿宋_GB2312"/>
          <w:b w:val="0"/>
          <w:bCs w:val="0"/>
          <w:sz w:val="30"/>
          <w:szCs w:val="30"/>
          <w:u w:val="none"/>
          <w:lang w:val="en-US" w:eastAsia="zh-CN"/>
        </w:rPr>
        <w:t>收行政复议文书”等，具体权限由申请人与代表人商议确定。）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34A7"/>
    <w:rsid w:val="4DF3A18F"/>
    <w:rsid w:val="5D4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1289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2025-07-29T01:18:00Z</dcterms:created>
  <dc:creator>武藤真吾</dc:creator>
  <cp:lastModifiedBy>杜娟</cp:lastModifiedBy>
  <dcterms:modified xsi:type="dcterms:W3CDTF">2025-07-29T16:41:32Z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